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r>
              <w:rPr>
                <w:spacing w:val="-4"/>
                <w:sz w:val="24"/>
              </w:rPr>
              <w:t>Halff</w:t>
            </w:r>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2AC710E8"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4E3878">
        <w:rPr>
          <w:b/>
          <w:spacing w:val="-2"/>
          <w:sz w:val="24"/>
        </w:rPr>
        <w:t xml:space="preserve">REVISED </w:t>
      </w:r>
      <w:r w:rsidR="00E01A9E">
        <w:rPr>
          <w:b/>
          <w:spacing w:val="-2"/>
          <w:sz w:val="24"/>
        </w:rPr>
        <w:t>AGENDA</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2FF1A977" w:rsidR="00BC1906" w:rsidRDefault="00AF41F0" w:rsidP="00A332FB">
      <w:pPr>
        <w:ind w:left="2340" w:right="1770"/>
        <w:jc w:val="center"/>
        <w:rPr>
          <w:b/>
          <w:sz w:val="24"/>
        </w:rPr>
      </w:pPr>
      <w:r>
        <w:rPr>
          <w:b/>
          <w:sz w:val="24"/>
        </w:rPr>
        <w:t>November 7, 2023</w:t>
      </w:r>
    </w:p>
    <w:p w14:paraId="4F2E1BB5" w14:textId="20208C7B" w:rsidR="00BC1906" w:rsidRDefault="00A332FB">
      <w:pPr>
        <w:ind w:left="3398" w:right="3497"/>
        <w:jc w:val="center"/>
        <w:rPr>
          <w:b/>
          <w:sz w:val="24"/>
        </w:rPr>
      </w:pPr>
      <w:r>
        <w:rPr>
          <w:b/>
          <w:spacing w:val="-2"/>
          <w:sz w:val="24"/>
        </w:rPr>
        <w:t xml:space="preserve">            </w:t>
      </w:r>
      <w:r w:rsidR="00657AD3">
        <w:rPr>
          <w:b/>
          <w:spacing w:val="-2"/>
          <w:sz w:val="24"/>
        </w:rPr>
        <w:t>10:0</w:t>
      </w:r>
      <w:r w:rsidR="000748BB">
        <w:rPr>
          <w:b/>
          <w:spacing w:val="-2"/>
          <w:sz w:val="24"/>
        </w:rPr>
        <w:t>0</w:t>
      </w:r>
      <w:r w:rsidR="00657AD3">
        <w:rPr>
          <w:b/>
          <w:spacing w:val="-2"/>
          <w:sz w:val="24"/>
        </w:rPr>
        <w:t>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1EBB2AE2"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p>
    <w:p w14:paraId="262B5FC0" w14:textId="77777777" w:rsidR="00BC1906" w:rsidRDefault="00BC1906">
      <w:pPr>
        <w:pStyle w:val="BodyText"/>
        <w:spacing w:before="11"/>
        <w:rPr>
          <w:b/>
          <w:sz w:val="23"/>
        </w:rPr>
      </w:pPr>
    </w:p>
    <w:p w14:paraId="008F0043" w14:textId="5A4B885C" w:rsidR="00BC1906" w:rsidRPr="00E5167B" w:rsidRDefault="00657AD3" w:rsidP="00F8147D">
      <w:pPr>
        <w:pStyle w:val="ListParagraph"/>
        <w:numPr>
          <w:ilvl w:val="0"/>
          <w:numId w:val="1"/>
        </w:numPr>
        <w:tabs>
          <w:tab w:val="left" w:pos="779"/>
          <w:tab w:val="left" w:pos="780"/>
        </w:tabs>
        <w:ind w:hanging="586"/>
        <w:jc w:val="left"/>
        <w:rPr>
          <w:b/>
        </w:rPr>
      </w:pPr>
      <w:r w:rsidRPr="00E5167B">
        <w:rPr>
          <w:b/>
          <w:sz w:val="24"/>
        </w:rPr>
        <w:t>MEMBERS</w:t>
      </w:r>
      <w:r w:rsidRPr="00E5167B">
        <w:rPr>
          <w:b/>
          <w:spacing w:val="-3"/>
          <w:sz w:val="24"/>
        </w:rPr>
        <w:t xml:space="preserve"> </w:t>
      </w:r>
      <w:r w:rsidRPr="00E5167B">
        <w:rPr>
          <w:b/>
          <w:spacing w:val="-2"/>
          <w:sz w:val="24"/>
        </w:rPr>
        <w:t>PRESENT:</w:t>
      </w:r>
      <w:r w:rsidR="008958F1" w:rsidRPr="00E5167B">
        <w:rPr>
          <w:b/>
          <w:spacing w:val="-2"/>
          <w:sz w:val="24"/>
        </w:rPr>
        <w:t xml:space="preserve">  </w:t>
      </w:r>
    </w:p>
    <w:p w14:paraId="4213E637" w14:textId="77777777" w:rsidR="00E5167B" w:rsidRPr="00E5167B" w:rsidRDefault="00E5167B" w:rsidP="00E5167B">
      <w:pPr>
        <w:pStyle w:val="ListParagraph"/>
        <w:rPr>
          <w:b/>
        </w:rPr>
      </w:pPr>
    </w:p>
    <w:p w14:paraId="0909BC2C" w14:textId="6CE8FBA7"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AF41F0">
        <w:rPr>
          <w:sz w:val="24"/>
        </w:rPr>
        <w:t>October</w:t>
      </w:r>
      <w:r w:rsidR="005A00F8">
        <w:rPr>
          <w:sz w:val="24"/>
        </w:rPr>
        <w:t xml:space="preserve"> </w:t>
      </w:r>
      <w:r w:rsidR="00AF41F0">
        <w:rPr>
          <w:sz w:val="24"/>
        </w:rPr>
        <w:t>3</w:t>
      </w:r>
      <w:r w:rsidR="00030402">
        <w:rPr>
          <w:sz w:val="24"/>
        </w:rPr>
        <w:t>,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70014389" w14:textId="5888E473" w:rsidR="00D20F4E" w:rsidRPr="006A09D9" w:rsidRDefault="00AF41F0" w:rsidP="00D20F4E">
      <w:pPr>
        <w:pStyle w:val="BodyText"/>
        <w:numPr>
          <w:ilvl w:val="0"/>
          <w:numId w:val="4"/>
        </w:numPr>
        <w:tabs>
          <w:tab w:val="center" w:pos="5640"/>
        </w:tabs>
        <w:rPr>
          <w:b/>
          <w:u w:val="single"/>
        </w:rPr>
      </w:pPr>
      <w:bookmarkStart w:id="0" w:name="_Hlk122076652"/>
      <w:r>
        <w:rPr>
          <w:b/>
          <w:u w:val="single"/>
        </w:rPr>
        <w:t>608 Leconte Minor Lot Split</w:t>
      </w:r>
    </w:p>
    <w:p w14:paraId="7B88E1F7" w14:textId="77777777" w:rsidR="00D20F4E" w:rsidRDefault="00D20F4E" w:rsidP="00D20F4E">
      <w:pPr>
        <w:pStyle w:val="Default"/>
      </w:pPr>
    </w:p>
    <w:p w14:paraId="6D910888" w14:textId="770659C4" w:rsidR="00D20F4E" w:rsidRDefault="00AF41F0" w:rsidP="00AF41F0">
      <w:pPr>
        <w:pStyle w:val="BodyText"/>
        <w:tabs>
          <w:tab w:val="center" w:pos="5640"/>
        </w:tabs>
        <w:ind w:left="1080"/>
        <w:rPr>
          <w:sz w:val="22"/>
          <w:szCs w:val="22"/>
        </w:rPr>
      </w:pPr>
      <w:r w:rsidRPr="00AF41F0">
        <w:rPr>
          <w:sz w:val="22"/>
          <w:szCs w:val="22"/>
        </w:rPr>
        <w:t>A request for a lot split to create two lots. Parcel 1 is proposed to be 14,809 square feet (0.339 acres), and Parcel 2 is proposed to be 12,679 square feet (0.291 acres</w:t>
      </w:r>
      <w:r>
        <w:rPr>
          <w:sz w:val="22"/>
          <w:szCs w:val="22"/>
        </w:rPr>
        <w:t xml:space="preserve">). </w:t>
      </w:r>
      <w:r w:rsidR="00464659">
        <w:rPr>
          <w:sz w:val="22"/>
          <w:szCs w:val="22"/>
        </w:rPr>
        <w:t>The property</w:t>
      </w:r>
      <w:r>
        <w:rPr>
          <w:sz w:val="22"/>
          <w:szCs w:val="22"/>
        </w:rPr>
        <w:t xml:space="preserve"> is zoned R-4 and the future land use is Single Family Medium Density.</w:t>
      </w:r>
    </w:p>
    <w:p w14:paraId="624C1458" w14:textId="77777777" w:rsidR="00D43712" w:rsidRDefault="00D43712" w:rsidP="00AF41F0">
      <w:pPr>
        <w:pStyle w:val="BodyText"/>
        <w:tabs>
          <w:tab w:val="center" w:pos="5640"/>
        </w:tabs>
        <w:ind w:left="1080"/>
        <w:rPr>
          <w:sz w:val="22"/>
          <w:szCs w:val="22"/>
        </w:rPr>
      </w:pPr>
    </w:p>
    <w:p w14:paraId="4ACDEC79" w14:textId="4DB7EE04" w:rsidR="00D43712" w:rsidRDefault="00D43712" w:rsidP="00D43712">
      <w:pPr>
        <w:pStyle w:val="BodyText"/>
        <w:numPr>
          <w:ilvl w:val="0"/>
          <w:numId w:val="4"/>
        </w:numPr>
        <w:tabs>
          <w:tab w:val="center" w:pos="5640"/>
        </w:tabs>
        <w:rPr>
          <w:b/>
          <w:u w:val="single"/>
        </w:rPr>
      </w:pPr>
      <w:r>
        <w:rPr>
          <w:b/>
          <w:u w:val="single"/>
        </w:rPr>
        <w:t xml:space="preserve">Mirror Lake Village Phase II </w:t>
      </w:r>
      <w:r w:rsidR="00C2648F">
        <w:rPr>
          <w:b/>
          <w:u w:val="single"/>
        </w:rPr>
        <w:t>-ISR PUD Amendment</w:t>
      </w:r>
    </w:p>
    <w:p w14:paraId="27C101DD" w14:textId="77777777" w:rsidR="00D43712" w:rsidRDefault="00D43712" w:rsidP="00D43712">
      <w:pPr>
        <w:pStyle w:val="BodyText"/>
        <w:tabs>
          <w:tab w:val="center" w:pos="5640"/>
        </w:tabs>
        <w:ind w:left="1080"/>
        <w:rPr>
          <w:b/>
          <w:u w:val="single"/>
        </w:rPr>
      </w:pPr>
    </w:p>
    <w:p w14:paraId="404BC4C3" w14:textId="5D632905" w:rsidR="00D43712" w:rsidRPr="00D43712" w:rsidRDefault="00A96069" w:rsidP="00D43712">
      <w:pPr>
        <w:pStyle w:val="BodyText"/>
        <w:tabs>
          <w:tab w:val="center" w:pos="5640"/>
        </w:tabs>
        <w:ind w:left="1080"/>
        <w:rPr>
          <w:bCs/>
        </w:rPr>
      </w:pPr>
      <w:r w:rsidRPr="00A96069">
        <w:rPr>
          <w:bCs/>
        </w:rPr>
        <w:t xml:space="preserve">The </w:t>
      </w:r>
      <w:r w:rsidR="00C2648F">
        <w:rPr>
          <w:bCs/>
        </w:rPr>
        <w:t xml:space="preserve">previously </w:t>
      </w:r>
      <w:r w:rsidRPr="00A96069">
        <w:rPr>
          <w:bCs/>
        </w:rPr>
        <w:t xml:space="preserve">approved PUD Ordinance (2019-001) allows a maximum impervious surface ratio of 50%. The ISR was in lieu of a maximum building coverage which applies to a per lot basis. The applicant is requesting a variance to allow a 50% ISR to be applied to the Phase 2 </w:t>
      </w:r>
      <w:r w:rsidR="00C2648F">
        <w:rPr>
          <w:bCs/>
        </w:rPr>
        <w:t xml:space="preserve">overall </w:t>
      </w:r>
      <w:r w:rsidRPr="00A96069">
        <w:rPr>
          <w:bCs/>
        </w:rPr>
        <w:lastRenderedPageBreak/>
        <w:t xml:space="preserve">subdivision instead of </w:t>
      </w:r>
      <w:r w:rsidR="00C2648F">
        <w:rPr>
          <w:bCs/>
        </w:rPr>
        <w:t xml:space="preserve">on </w:t>
      </w:r>
      <w:r w:rsidRPr="00A96069">
        <w:rPr>
          <w:bCs/>
        </w:rPr>
        <w:t>a per lot basis.</w:t>
      </w:r>
      <w:r w:rsidR="00C2648F">
        <w:rPr>
          <w:bCs/>
        </w:rPr>
        <w:t xml:space="preserve">  The PUD has been modified by the applicant for approval consideration.</w:t>
      </w:r>
    </w:p>
    <w:p w14:paraId="29C95C00" w14:textId="77777777" w:rsidR="00D43712" w:rsidRDefault="00D43712" w:rsidP="00AF41F0">
      <w:pPr>
        <w:pStyle w:val="BodyText"/>
        <w:tabs>
          <w:tab w:val="center" w:pos="5640"/>
        </w:tabs>
        <w:ind w:left="1080"/>
        <w:rPr>
          <w:b/>
          <w:u w:val="single"/>
        </w:rPr>
      </w:pPr>
    </w:p>
    <w:bookmarkEnd w:id="0"/>
    <w:p w14:paraId="71435876" w14:textId="44BF87C6" w:rsidR="00CC4E88" w:rsidRDefault="00CC4E88" w:rsidP="00CC4E88">
      <w:pPr>
        <w:pStyle w:val="BodyText"/>
        <w:numPr>
          <w:ilvl w:val="0"/>
          <w:numId w:val="4"/>
        </w:numPr>
        <w:tabs>
          <w:tab w:val="center" w:pos="5640"/>
        </w:tabs>
        <w:rPr>
          <w:b/>
          <w:u w:val="single"/>
        </w:rPr>
      </w:pPr>
      <w:r>
        <w:rPr>
          <w:b/>
          <w:u w:val="single"/>
        </w:rPr>
        <w:t>Evolve at Grove Park Major Site Plan</w:t>
      </w:r>
    </w:p>
    <w:p w14:paraId="476BE614" w14:textId="77777777" w:rsidR="001A3F29" w:rsidRDefault="001A3F29" w:rsidP="00CC4E88">
      <w:pPr>
        <w:pStyle w:val="BodyText"/>
        <w:tabs>
          <w:tab w:val="center" w:pos="5640"/>
        </w:tabs>
        <w:ind w:left="1080"/>
        <w:rPr>
          <w:bCs/>
        </w:rPr>
      </w:pPr>
    </w:p>
    <w:p w14:paraId="4E04647A" w14:textId="51EE8B89" w:rsidR="00CC4E88" w:rsidRDefault="00CC4E88" w:rsidP="00CC4E88">
      <w:pPr>
        <w:pStyle w:val="BodyText"/>
        <w:tabs>
          <w:tab w:val="center" w:pos="5640"/>
        </w:tabs>
        <w:ind w:left="1080"/>
        <w:rPr>
          <w:bCs/>
        </w:rPr>
      </w:pPr>
      <w:r w:rsidRPr="00CC4E88">
        <w:rPr>
          <w:bCs/>
        </w:rPr>
        <w:t xml:space="preserve">The subject property is 19.56 acres and consists of two parcels, Alt Key 1699649 and 3884325; however, a resolution was passed authorizing a unity of title for these two parcels (Resolution 2022-062). There are two existing vacant residential dwellings and one vacant restaurant on the subject site which are to be demolished for development of the site. Development of the site is subject to the Master Development Agreement (Ordinance 2022-024) which was formerly known as “The Hawthorne’s”. The proposed development is for 222 MF dwelling units, associated parking, </w:t>
      </w:r>
      <w:proofErr w:type="gramStart"/>
      <w:r w:rsidRPr="00CC4E88">
        <w:rPr>
          <w:bCs/>
        </w:rPr>
        <w:t>stormwater</w:t>
      </w:r>
      <w:proofErr w:type="gramEnd"/>
      <w:r w:rsidRPr="00CC4E88">
        <w:rPr>
          <w:bCs/>
        </w:rPr>
        <w:t xml:space="preserve"> and recreational amenities along with the creation of two (2) commercial parcels fronting on CR 466-A.</w:t>
      </w:r>
    </w:p>
    <w:p w14:paraId="0BCE9804" w14:textId="77777777" w:rsidR="00CC4E88" w:rsidRPr="00CC4E88" w:rsidRDefault="00CC4E88" w:rsidP="00CC4E88">
      <w:pPr>
        <w:pStyle w:val="BodyText"/>
        <w:tabs>
          <w:tab w:val="center" w:pos="5640"/>
        </w:tabs>
        <w:ind w:left="1080"/>
        <w:rPr>
          <w:bCs/>
        </w:rPr>
      </w:pPr>
    </w:p>
    <w:p w14:paraId="62E26D2F" w14:textId="198F86A5" w:rsidR="00CC4E88" w:rsidRDefault="00CC4E88" w:rsidP="00CC4E88">
      <w:pPr>
        <w:pStyle w:val="BodyText"/>
        <w:tabs>
          <w:tab w:val="center" w:pos="5640"/>
        </w:tabs>
        <w:ind w:left="1080"/>
        <w:rPr>
          <w:bCs/>
        </w:rPr>
      </w:pPr>
      <w:r w:rsidRPr="00CC4E88">
        <w:rPr>
          <w:bCs/>
        </w:rPr>
        <w:t>The max ISR is 70%, maximum FAR is .50 for the commercial area, and maximum density allowed per MDA is 224 MF dwellings. The minimum apartment size per code is 600 SF. The proposed minimum apartment size is 738 SF for 1-bedroom units, 1063 SF for 2-bedroom units, and 1205 SF for 3-bedroom units. Required minimum open space is 25%.</w:t>
      </w:r>
    </w:p>
    <w:p w14:paraId="0F41C77A" w14:textId="77777777" w:rsidR="00890B93" w:rsidRDefault="00890B93" w:rsidP="00CC4E88">
      <w:pPr>
        <w:pStyle w:val="BodyText"/>
        <w:tabs>
          <w:tab w:val="center" w:pos="5640"/>
        </w:tabs>
        <w:ind w:left="1080"/>
        <w:rPr>
          <w:bCs/>
        </w:rPr>
      </w:pPr>
    </w:p>
    <w:p w14:paraId="123ED1C9" w14:textId="77777777" w:rsidR="00890B93" w:rsidRDefault="00890B93" w:rsidP="00CC4E88">
      <w:pPr>
        <w:pStyle w:val="BodyText"/>
        <w:tabs>
          <w:tab w:val="center" w:pos="5640"/>
        </w:tabs>
        <w:ind w:left="1080"/>
        <w:rPr>
          <w:bCs/>
        </w:rPr>
      </w:pPr>
    </w:p>
    <w:p w14:paraId="3D21D5D1" w14:textId="2B9B7B89" w:rsidR="00890B93" w:rsidRDefault="00890B93" w:rsidP="002741CF">
      <w:pPr>
        <w:pStyle w:val="BodyText"/>
        <w:numPr>
          <w:ilvl w:val="0"/>
          <w:numId w:val="4"/>
        </w:numPr>
        <w:tabs>
          <w:tab w:val="center" w:pos="5640"/>
        </w:tabs>
        <w:rPr>
          <w:b/>
          <w:u w:val="single"/>
        </w:rPr>
      </w:pPr>
      <w:r w:rsidRPr="00890B93">
        <w:rPr>
          <w:b/>
          <w:u w:val="single"/>
        </w:rPr>
        <w:t xml:space="preserve">The Enclave at Lake Geneva </w:t>
      </w:r>
      <w:r w:rsidR="00CB5DFD">
        <w:rPr>
          <w:b/>
          <w:u w:val="single"/>
        </w:rPr>
        <w:t xml:space="preserve">(formerly the Village at Lake Geneva) </w:t>
      </w:r>
      <w:r w:rsidRPr="00890B93">
        <w:rPr>
          <w:b/>
          <w:u w:val="single"/>
        </w:rPr>
        <w:t>Variance</w:t>
      </w:r>
    </w:p>
    <w:p w14:paraId="497CB1D0" w14:textId="19857192" w:rsidR="00890B93" w:rsidRPr="00CB5DFD" w:rsidRDefault="00890B93" w:rsidP="00890B93">
      <w:pPr>
        <w:pStyle w:val="BodyText"/>
        <w:tabs>
          <w:tab w:val="center" w:pos="5640"/>
        </w:tabs>
        <w:rPr>
          <w:bCs/>
        </w:rPr>
      </w:pPr>
    </w:p>
    <w:p w14:paraId="76957542" w14:textId="5E257F87" w:rsidR="00F744F6" w:rsidRPr="008B56CB" w:rsidRDefault="00CB5DFD" w:rsidP="004D2926">
      <w:pPr>
        <w:pStyle w:val="BodyText"/>
        <w:tabs>
          <w:tab w:val="center" w:pos="5640"/>
        </w:tabs>
        <w:ind w:left="1080"/>
      </w:pPr>
      <w:r w:rsidRPr="00CB5DFD">
        <w:rPr>
          <w:bCs/>
        </w:rPr>
        <w:t xml:space="preserve">The </w:t>
      </w:r>
      <w:r>
        <w:rPr>
          <w:bCs/>
        </w:rPr>
        <w:t xml:space="preserve">proposed development is seeking a variance to Section 157.080(a)(4)(C) </w:t>
      </w:r>
      <w:r w:rsidR="00CB360F">
        <w:rPr>
          <w:bCs/>
        </w:rPr>
        <w:t xml:space="preserve">(iii) of the </w:t>
      </w:r>
      <w:r>
        <w:rPr>
          <w:bCs/>
        </w:rPr>
        <w:t xml:space="preserve">city’s </w:t>
      </w:r>
      <w:r w:rsidR="00CB360F">
        <w:rPr>
          <w:bCs/>
        </w:rPr>
        <w:t xml:space="preserve">Land Development Regulations pertaining to </w:t>
      </w:r>
      <w:r w:rsidR="004D2926">
        <w:rPr>
          <w:bCs/>
        </w:rPr>
        <w:t>r</w:t>
      </w:r>
      <w:r w:rsidR="00CB360F">
        <w:rPr>
          <w:bCs/>
        </w:rPr>
        <w:t xml:space="preserve">oadway and </w:t>
      </w:r>
      <w:r w:rsidR="004D2926">
        <w:rPr>
          <w:bCs/>
        </w:rPr>
        <w:t>s</w:t>
      </w:r>
      <w:r w:rsidR="00CB360F">
        <w:rPr>
          <w:bCs/>
        </w:rPr>
        <w:t xml:space="preserve">treet </w:t>
      </w:r>
      <w:r w:rsidR="004D2926">
        <w:rPr>
          <w:bCs/>
        </w:rPr>
        <w:t>c</w:t>
      </w:r>
      <w:r w:rsidR="00CB360F">
        <w:rPr>
          <w:bCs/>
        </w:rPr>
        <w:t xml:space="preserve">onstruction </w:t>
      </w:r>
      <w:r w:rsidR="004D2926">
        <w:rPr>
          <w:bCs/>
        </w:rPr>
        <w:t>– construction standard</w:t>
      </w:r>
      <w:r w:rsidR="00CB360F">
        <w:rPr>
          <w:bCs/>
        </w:rPr>
        <w:t>s for storm sewers.  The development is proposing to use Corrugated Polyethylene Pipe (HP) vice concrete</w:t>
      </w:r>
      <w:r w:rsidR="004D2926">
        <w:rPr>
          <w:bCs/>
        </w:rPr>
        <w:t xml:space="preserve"> under the roads. </w:t>
      </w:r>
      <w:r w:rsidR="00CB360F">
        <w:rPr>
          <w:bCs/>
        </w:rPr>
        <w:t xml:space="preserve">  After review by the city’s engineer, there is no objection</w:t>
      </w:r>
      <w:r w:rsidR="004D2926">
        <w:rPr>
          <w:bCs/>
        </w:rPr>
        <w:t>-</w:t>
      </w:r>
      <w:r w:rsidR="00CB360F">
        <w:rPr>
          <w:bCs/>
        </w:rPr>
        <w:t xml:space="preserve"> </w:t>
      </w:r>
      <w:proofErr w:type="gramStart"/>
      <w:r w:rsidR="00CB360F">
        <w:rPr>
          <w:bCs/>
        </w:rPr>
        <w:t>provided that</w:t>
      </w:r>
      <w:proofErr w:type="gramEnd"/>
      <w:r w:rsidR="00CB360F">
        <w:rPr>
          <w:bCs/>
        </w:rPr>
        <w:t xml:space="preserve"> post inspection services are provided by the pipe manufacturer.</w:t>
      </w:r>
    </w:p>
    <w:p w14:paraId="48E6948F" w14:textId="77777777" w:rsidR="004573A7" w:rsidRDefault="004573A7" w:rsidP="004573A7">
      <w:pPr>
        <w:pStyle w:val="BodyText"/>
        <w:rPr>
          <w:color w:val="A6A6A6" w:themeColor="background1" w:themeShade="A6"/>
        </w:rPr>
      </w:pPr>
    </w:p>
    <w:p w14:paraId="57FE0944" w14:textId="5C533817" w:rsidR="00BC1906" w:rsidRDefault="00140DDF" w:rsidP="005B4A69">
      <w:pPr>
        <w:pStyle w:val="BodyText"/>
        <w:tabs>
          <w:tab w:val="center" w:pos="5640"/>
        </w:tabs>
        <w:ind w:hanging="180"/>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rsidP="005B4A69">
      <w:pPr>
        <w:pStyle w:val="BodyText"/>
        <w:spacing w:before="2"/>
        <w:ind w:hanging="180"/>
        <w:rPr>
          <w:b/>
          <w:sz w:val="16"/>
        </w:rPr>
      </w:pPr>
    </w:p>
    <w:p w14:paraId="38FF2EB1" w14:textId="77777777" w:rsidR="00BC1906" w:rsidRDefault="00657AD3" w:rsidP="005B4A69">
      <w:pPr>
        <w:spacing w:before="90"/>
        <w:ind w:left="780" w:hanging="1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rsidP="005B4A69">
      <w:pPr>
        <w:pStyle w:val="BodyText"/>
        <w:spacing w:before="2"/>
        <w:ind w:hanging="180"/>
        <w:rPr>
          <w:b/>
          <w:sz w:val="16"/>
        </w:rPr>
      </w:pPr>
    </w:p>
    <w:p w14:paraId="4997C1BD" w14:textId="77777777" w:rsidR="00BC1906" w:rsidRDefault="00657AD3" w:rsidP="00BD3DA5">
      <w:pPr>
        <w:pStyle w:val="BodyText"/>
        <w:spacing w:before="90"/>
        <w:ind w:left="780" w:right="154" w:hanging="60"/>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rsidP="005B4A69">
      <w:pPr>
        <w:pStyle w:val="BodyText"/>
        <w:ind w:hanging="180"/>
        <w:rPr>
          <w:sz w:val="22"/>
        </w:rPr>
      </w:pPr>
    </w:p>
    <w:p w14:paraId="56098954" w14:textId="52B88C9B" w:rsidR="00BC1906" w:rsidRPr="00503DB5" w:rsidRDefault="00657AD3" w:rsidP="005B4A69">
      <w:pPr>
        <w:ind w:left="780" w:hanging="180"/>
        <w:rPr>
          <w:bCs/>
          <w:sz w:val="24"/>
        </w:rPr>
      </w:pPr>
      <w:r>
        <w:rPr>
          <w:b/>
          <w:spacing w:val="-2"/>
          <w:sz w:val="24"/>
          <w:u w:val="single"/>
        </w:rPr>
        <w:t>ADJOURNMENT</w:t>
      </w:r>
      <w:r w:rsidR="00503DB5">
        <w:rPr>
          <w:bCs/>
          <w:spacing w:val="-2"/>
          <w:sz w:val="24"/>
        </w:rPr>
        <w:t xml:space="preserve">:  </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60887C04"/>
    <w:multiLevelType w:val="hybridMultilevel"/>
    <w:tmpl w:val="062A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5"/>
  </w:num>
  <w:num w:numId="3" w16cid:durableId="131603625">
    <w:abstractNumId w:val="0"/>
  </w:num>
  <w:num w:numId="4" w16cid:durableId="1746340700">
    <w:abstractNumId w:val="4"/>
  </w:num>
  <w:num w:numId="5" w16cid:durableId="2042168870">
    <w:abstractNumId w:val="1"/>
  </w:num>
  <w:num w:numId="6" w16cid:durableId="21269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NK0FAFyFEyktAAAA"/>
  </w:docVars>
  <w:rsids>
    <w:rsidRoot w:val="00BC1906"/>
    <w:rsid w:val="0000466F"/>
    <w:rsid w:val="0000789F"/>
    <w:rsid w:val="00030402"/>
    <w:rsid w:val="00065751"/>
    <w:rsid w:val="000748BB"/>
    <w:rsid w:val="000A3A02"/>
    <w:rsid w:val="000A60CB"/>
    <w:rsid w:val="000B0DC7"/>
    <w:rsid w:val="000C16E2"/>
    <w:rsid w:val="000C3DE1"/>
    <w:rsid w:val="000D66A8"/>
    <w:rsid w:val="000F6D15"/>
    <w:rsid w:val="00130F14"/>
    <w:rsid w:val="0013496C"/>
    <w:rsid w:val="00140DDF"/>
    <w:rsid w:val="00141362"/>
    <w:rsid w:val="001466C9"/>
    <w:rsid w:val="0016711E"/>
    <w:rsid w:val="001779B0"/>
    <w:rsid w:val="00182ED9"/>
    <w:rsid w:val="00186F0B"/>
    <w:rsid w:val="0018725F"/>
    <w:rsid w:val="00195BF1"/>
    <w:rsid w:val="001A3F29"/>
    <w:rsid w:val="001A52F5"/>
    <w:rsid w:val="001B6551"/>
    <w:rsid w:val="001C2113"/>
    <w:rsid w:val="001C5EF6"/>
    <w:rsid w:val="001E438B"/>
    <w:rsid w:val="001F7DD5"/>
    <w:rsid w:val="002130B3"/>
    <w:rsid w:val="002218A1"/>
    <w:rsid w:val="002346EA"/>
    <w:rsid w:val="00242EC5"/>
    <w:rsid w:val="002457E0"/>
    <w:rsid w:val="00252D7A"/>
    <w:rsid w:val="002618BA"/>
    <w:rsid w:val="002708F1"/>
    <w:rsid w:val="002774EA"/>
    <w:rsid w:val="002A62E1"/>
    <w:rsid w:val="002B2B18"/>
    <w:rsid w:val="002B30D6"/>
    <w:rsid w:val="002B3469"/>
    <w:rsid w:val="002B4FA0"/>
    <w:rsid w:val="002C3D27"/>
    <w:rsid w:val="002F3346"/>
    <w:rsid w:val="002F5575"/>
    <w:rsid w:val="00303F8B"/>
    <w:rsid w:val="00306B8A"/>
    <w:rsid w:val="00320332"/>
    <w:rsid w:val="00335A2B"/>
    <w:rsid w:val="00340707"/>
    <w:rsid w:val="00345B43"/>
    <w:rsid w:val="0036291D"/>
    <w:rsid w:val="00374B19"/>
    <w:rsid w:val="00376FD1"/>
    <w:rsid w:val="00380F8A"/>
    <w:rsid w:val="003A0CB4"/>
    <w:rsid w:val="003B0B72"/>
    <w:rsid w:val="003B3F84"/>
    <w:rsid w:val="003B5466"/>
    <w:rsid w:val="003D71FA"/>
    <w:rsid w:val="003E73E2"/>
    <w:rsid w:val="003F208B"/>
    <w:rsid w:val="003F3119"/>
    <w:rsid w:val="003F7114"/>
    <w:rsid w:val="0040326D"/>
    <w:rsid w:val="00411536"/>
    <w:rsid w:val="00413ABC"/>
    <w:rsid w:val="004146CC"/>
    <w:rsid w:val="00414E12"/>
    <w:rsid w:val="004573A7"/>
    <w:rsid w:val="00464659"/>
    <w:rsid w:val="00496CF4"/>
    <w:rsid w:val="004A2B9C"/>
    <w:rsid w:val="004C45AB"/>
    <w:rsid w:val="004C7593"/>
    <w:rsid w:val="004D013B"/>
    <w:rsid w:val="004D2926"/>
    <w:rsid w:val="004D361B"/>
    <w:rsid w:val="004D7B9A"/>
    <w:rsid w:val="004E3878"/>
    <w:rsid w:val="004E634E"/>
    <w:rsid w:val="00503743"/>
    <w:rsid w:val="00503DB5"/>
    <w:rsid w:val="005054F1"/>
    <w:rsid w:val="005301A7"/>
    <w:rsid w:val="00552C10"/>
    <w:rsid w:val="00570AE5"/>
    <w:rsid w:val="00576D9B"/>
    <w:rsid w:val="005A00F8"/>
    <w:rsid w:val="005A7B46"/>
    <w:rsid w:val="005B0191"/>
    <w:rsid w:val="005B4A69"/>
    <w:rsid w:val="005B6722"/>
    <w:rsid w:val="005C0D7A"/>
    <w:rsid w:val="005C3906"/>
    <w:rsid w:val="005D7AE9"/>
    <w:rsid w:val="005F52D3"/>
    <w:rsid w:val="005F5B8A"/>
    <w:rsid w:val="005F7232"/>
    <w:rsid w:val="00616765"/>
    <w:rsid w:val="00624438"/>
    <w:rsid w:val="00657AD3"/>
    <w:rsid w:val="006756F8"/>
    <w:rsid w:val="00675FCF"/>
    <w:rsid w:val="006A09D9"/>
    <w:rsid w:val="006A4290"/>
    <w:rsid w:val="006B0D86"/>
    <w:rsid w:val="006D6F85"/>
    <w:rsid w:val="006E71C9"/>
    <w:rsid w:val="006E7E6A"/>
    <w:rsid w:val="006F414C"/>
    <w:rsid w:val="00725662"/>
    <w:rsid w:val="0072689D"/>
    <w:rsid w:val="007559B8"/>
    <w:rsid w:val="00762E24"/>
    <w:rsid w:val="0076410B"/>
    <w:rsid w:val="007738B6"/>
    <w:rsid w:val="007773FA"/>
    <w:rsid w:val="007A7DD7"/>
    <w:rsid w:val="007B7A12"/>
    <w:rsid w:val="007C1865"/>
    <w:rsid w:val="007C65BE"/>
    <w:rsid w:val="007C788E"/>
    <w:rsid w:val="007E6117"/>
    <w:rsid w:val="00822D0B"/>
    <w:rsid w:val="00823A7E"/>
    <w:rsid w:val="0083461C"/>
    <w:rsid w:val="00870445"/>
    <w:rsid w:val="0088358C"/>
    <w:rsid w:val="008844C3"/>
    <w:rsid w:val="00890B93"/>
    <w:rsid w:val="0089154C"/>
    <w:rsid w:val="008958F1"/>
    <w:rsid w:val="008B56CB"/>
    <w:rsid w:val="008C57AD"/>
    <w:rsid w:val="008D6781"/>
    <w:rsid w:val="008D6B7D"/>
    <w:rsid w:val="008E1D86"/>
    <w:rsid w:val="008E69D5"/>
    <w:rsid w:val="009164C1"/>
    <w:rsid w:val="00931CB0"/>
    <w:rsid w:val="0096525E"/>
    <w:rsid w:val="00977422"/>
    <w:rsid w:val="00985273"/>
    <w:rsid w:val="00993C4A"/>
    <w:rsid w:val="009A1DD4"/>
    <w:rsid w:val="009B5F21"/>
    <w:rsid w:val="009D47C5"/>
    <w:rsid w:val="009E0091"/>
    <w:rsid w:val="009E0928"/>
    <w:rsid w:val="009F03D0"/>
    <w:rsid w:val="00A332FB"/>
    <w:rsid w:val="00A4740F"/>
    <w:rsid w:val="00A47AB2"/>
    <w:rsid w:val="00A53970"/>
    <w:rsid w:val="00A83542"/>
    <w:rsid w:val="00A92063"/>
    <w:rsid w:val="00A96069"/>
    <w:rsid w:val="00AA6AEC"/>
    <w:rsid w:val="00AB2FE9"/>
    <w:rsid w:val="00AB58FF"/>
    <w:rsid w:val="00AE6423"/>
    <w:rsid w:val="00AF41F0"/>
    <w:rsid w:val="00B142C4"/>
    <w:rsid w:val="00B2468F"/>
    <w:rsid w:val="00B278D8"/>
    <w:rsid w:val="00B364AF"/>
    <w:rsid w:val="00B46D92"/>
    <w:rsid w:val="00B47498"/>
    <w:rsid w:val="00B541FE"/>
    <w:rsid w:val="00B5471F"/>
    <w:rsid w:val="00B6288C"/>
    <w:rsid w:val="00B6677B"/>
    <w:rsid w:val="00B7385C"/>
    <w:rsid w:val="00B7732D"/>
    <w:rsid w:val="00BA303B"/>
    <w:rsid w:val="00BC1906"/>
    <w:rsid w:val="00BD249F"/>
    <w:rsid w:val="00BD3AD8"/>
    <w:rsid w:val="00BD3DA5"/>
    <w:rsid w:val="00BD46B1"/>
    <w:rsid w:val="00BD5D9B"/>
    <w:rsid w:val="00BF2814"/>
    <w:rsid w:val="00BF3388"/>
    <w:rsid w:val="00BF4706"/>
    <w:rsid w:val="00C02DB6"/>
    <w:rsid w:val="00C2648F"/>
    <w:rsid w:val="00C3630C"/>
    <w:rsid w:val="00C52B48"/>
    <w:rsid w:val="00C5687D"/>
    <w:rsid w:val="00C61846"/>
    <w:rsid w:val="00C900B1"/>
    <w:rsid w:val="00C900E7"/>
    <w:rsid w:val="00C943F2"/>
    <w:rsid w:val="00CB360F"/>
    <w:rsid w:val="00CB4B05"/>
    <w:rsid w:val="00CB5DFD"/>
    <w:rsid w:val="00CC240A"/>
    <w:rsid w:val="00CC4E88"/>
    <w:rsid w:val="00CE3C73"/>
    <w:rsid w:val="00CE3CBF"/>
    <w:rsid w:val="00CF626C"/>
    <w:rsid w:val="00D123A0"/>
    <w:rsid w:val="00D16409"/>
    <w:rsid w:val="00D20F4E"/>
    <w:rsid w:val="00D22A3E"/>
    <w:rsid w:val="00D34B71"/>
    <w:rsid w:val="00D40A38"/>
    <w:rsid w:val="00D43712"/>
    <w:rsid w:val="00D539DA"/>
    <w:rsid w:val="00D57C91"/>
    <w:rsid w:val="00D6051D"/>
    <w:rsid w:val="00D67244"/>
    <w:rsid w:val="00DC0215"/>
    <w:rsid w:val="00DC0538"/>
    <w:rsid w:val="00DD61B7"/>
    <w:rsid w:val="00DE0A64"/>
    <w:rsid w:val="00DE5974"/>
    <w:rsid w:val="00DF292F"/>
    <w:rsid w:val="00E016A2"/>
    <w:rsid w:val="00E01A9E"/>
    <w:rsid w:val="00E01FC9"/>
    <w:rsid w:val="00E045BE"/>
    <w:rsid w:val="00E155D0"/>
    <w:rsid w:val="00E47859"/>
    <w:rsid w:val="00E5167B"/>
    <w:rsid w:val="00E81141"/>
    <w:rsid w:val="00EB5829"/>
    <w:rsid w:val="00EC043F"/>
    <w:rsid w:val="00EC3992"/>
    <w:rsid w:val="00EE0126"/>
    <w:rsid w:val="00EE0237"/>
    <w:rsid w:val="00EF78F7"/>
    <w:rsid w:val="00F079FF"/>
    <w:rsid w:val="00F249A2"/>
    <w:rsid w:val="00F5235D"/>
    <w:rsid w:val="00F60D29"/>
    <w:rsid w:val="00F7140E"/>
    <w:rsid w:val="00F744F6"/>
    <w:rsid w:val="00FA128B"/>
    <w:rsid w:val="00FB3325"/>
    <w:rsid w:val="00FC02DE"/>
    <w:rsid w:val="00FC2E42"/>
    <w:rsid w:val="00FD0001"/>
    <w:rsid w:val="00FD5F37"/>
    <w:rsid w:val="00FD7510"/>
    <w:rsid w:val="00FE61D7"/>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6A0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3</cp:revision>
  <cp:lastPrinted>2023-11-03T15:03:00Z</cp:lastPrinted>
  <dcterms:created xsi:type="dcterms:W3CDTF">2023-11-03T15:04:00Z</dcterms:created>
  <dcterms:modified xsi:type="dcterms:W3CDTF">2023-11-06T13:45:00Z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